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D4E2" w14:textId="35841F4A" w:rsidR="0013709F" w:rsidRDefault="00E371B4" w:rsidP="00E371B4">
      <w:pPr>
        <w:spacing w:line="360" w:lineRule="auto"/>
        <w:jc w:val="both"/>
      </w:pPr>
      <w:r w:rsidRPr="00E371B4">
        <w:t xml:space="preserve">Bakr </w:t>
      </w:r>
      <w:proofErr w:type="spellStart"/>
      <w:r w:rsidRPr="00E371B4">
        <w:t>Elazab</w:t>
      </w:r>
      <w:proofErr w:type="spellEnd"/>
      <w:r w:rsidRPr="00E371B4">
        <w:t xml:space="preserve"> A, Ibrahim Ali A, Mohamed Eldisoky I. Follmann balanitis as an atypical form of primary cutaneous syphilis. J Case Rep Images Infect Dis 2026;9(1):9–12.</w:t>
      </w:r>
    </w:p>
    <w:sectPr w:rsidR="00137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B4"/>
    <w:rsid w:val="0013709F"/>
    <w:rsid w:val="0015459F"/>
    <w:rsid w:val="001B6D82"/>
    <w:rsid w:val="001E419D"/>
    <w:rsid w:val="004F6E26"/>
    <w:rsid w:val="00603117"/>
    <w:rsid w:val="00D80848"/>
    <w:rsid w:val="00DC0000"/>
    <w:rsid w:val="00E371B4"/>
    <w:rsid w:val="00FD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39AEC"/>
  <w15:chartTrackingRefBased/>
  <w15:docId w15:val="{83D63941-F6E4-4CAC-8D7C-0DFA9B64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1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1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1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1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1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1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1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2026-02-18T04:39:00Z</dcterms:created>
  <dcterms:modified xsi:type="dcterms:W3CDTF">2026-02-18T04:39:00Z</dcterms:modified>
</cp:coreProperties>
</file>